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VELION INNOVA</w:t>
      </w:r>
    </w:p>
    <w:p>
      <w:r>
        <w:t>NIF B75504589.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Serveis assistència tècnica per a la regulació, coordinació, seguiment i control de les operacions vinculades a la mobilitat compartida (sharing) de la ciutat de Barcelona amb mesures de contractació pública sostenible · exp. 001_24003524</w:t>
            </w:r>
          </w:p>
        </w:tc>
        <w:tc>
          <w:tcPr>
            <w:tcW w:type="dxa" w:w="1440"/>
          </w:tcPr>
          <w:p>
            <w:r>
              <w:t>Ajuntament de Barcelona</w:t>
            </w:r>
          </w:p>
        </w:tc>
        <w:tc>
          <w:tcPr>
            <w:tcW w:type="dxa" w:w="1440"/>
          </w:tcPr>
          <w:p>
            <w:r>
              <w:t>40.610,53 €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30/07/2025 – 30/07/2026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40.610,53 €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Ajuntament de Barcelona</w:t>
      </w:r>
    </w:p>
    <w:p>
      <w:r>
        <w:t xml:space="preserve">VELION INNOVA, con NIF B75504589, adjudicataria del contrato «Serveis assistència tècnica per a la regulació, coordinació, seguiment i control de les operacions vinculades a la mobilitat compartida (sharing) de la ciutat de Barcelona amb mesures de contractació pública sostenible», expediente 001_24003524, adjudicado el …… por 40.610,53 €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30/07/2025 a 30/07/2026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