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SERPER SL</w:t>
      </w:r>
    </w:p>
    <w:p>
      <w:r>
        <w:t>NIF B08263394.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Acord marc subjecte a regulació harmonitzada per a la producció, impressió, entrega i/o emmagatzematge, col·locació i retirada de material gràfic, vinils i papereria de Ferrocarril Metropolità de Barcelona SA, Transports de Barcelona SA, Transports Metropolitans de Barcelona, SL, Projectes i serveis a la Mobilitat SA, Fundació TMB, en endavant TMB (lote 1) · exp. 12000516</w:t>
            </w:r>
          </w:p>
        </w:tc>
        <w:tc>
          <w:tcPr>
            <w:tcW w:type="dxa" w:w="1440"/>
          </w:tcPr>
          <w:p>
            <w:r>
              <w:t>Transports de Barcelona, SA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20/04/2026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Transports de Barcelona, SA</w:t>
      </w:r>
    </w:p>
    <w:p>
      <w:r>
        <w:t xml:space="preserve">SERPER SL, con NIF B08263394, adjudicataria del contrato «Acord marc subjecte a regulació harmonitzada per a la producció, impressió, entrega i/o emmagatzematge, col·locació i retirada de material gràfic, vinils i papereria de Ferrocarril Metropolità de Barcelona SA, Transports de Barcelona SA, Transports Metropolitans de Barcelona, SL, Projectes i serveis a la Mobilitat SA, Fundació TMB, en endavant TMB», lote 1, expediente 12000516,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20/04/2026 a 20/04/2030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