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PANGEA ATTITUDE SL</w:t>
      </w:r>
    </w:p>
    <w:p>
      <w:r>
        <w:t>NIF B66047978. Contratos públicos adjudicados en los tres últimos años (servicios), del 07/11/2023 al 07/11/2026,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Patrocini dels esdeveniments Salomon Ultra Pirineu a l’estació de muntanya de La Molina (NS87/26) · exp. CONTR/2026/0000000541</w:t>
            </w:r>
          </w:p>
        </w:tc>
        <w:tc>
          <w:tcPr>
            <w:tcW w:type="dxa" w:w="1440"/>
          </w:tcPr>
          <w:p>
            <w:r>
              <w:t>Ferrocarrils de la Generalitat de Catalunya · NIF Q0801576J</w:t>
            </w:r>
          </w:p>
        </w:tc>
        <w:tc>
          <w:tcPr>
            <w:tcW w:type="dxa" w:w="1440"/>
          </w:tcPr>
          <w:p>
            <w:r>
              <w:t>98.900,00 €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98.900,00 €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Ferrocarrils de la Generalitat de Catalunya (NIF Q0801576J)</w:t>
      </w:r>
    </w:p>
    <w:p>
      <w:r>
        <w:t xml:space="preserve">PANGEA ATTITUDE SL, con NIF B66047978, adjudicataria del contrato «Patrocini dels esdeveniments Salomon Ultra Pirineu a l’estació de muntanya de La Molina (NS87/26)», expediente CONTR/2026/0000000541, adjudicado el …… por 98.900,00 €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02/10/2026 a 02/12/2026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