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MAQUINARIA DE EXTREMADURA MAQUIGAR S.L.</w:t>
      </w:r>
    </w:p>
    <w:p>
      <w:r>
        <w:t>NIF B10445120.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 Parque Infantil de Tráfico en Coria (Cáceres). · exp. 2143/2026</w:t>
            </w:r>
          </w:p>
        </w:tc>
        <w:tc>
          <w:tcPr>
            <w:tcW w:type="dxa" w:w="1440"/>
          </w:tcPr>
          <w:p>
            <w:r>
              <w:t>Ayuntamiento de Coria · NIF P1006800E</w:t>
            </w:r>
          </w:p>
        </w:tc>
        <w:tc>
          <w:tcPr>
            <w:tcW w:type="dxa" w:w="1440"/>
          </w:tcPr>
          <w:p>
            <w:r>
              <w:t>25.188,80 €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25.188,80 €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Coria (NIF P1006800E)</w:t>
      </w:r>
    </w:p>
    <w:p>
      <w:r>
        <w:t xml:space="preserve">MAQUINARIA DE EXTREMADURA MAQUIGAR S.L., con NIF B10445120, adjudicataria del contrato «Obra Parque Infantil de Tráfico en Coria (Cáceres).», expediente 2143/2026, adjudicado el 30/10/2026 por 25.188,80 €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