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JARDIPI SL</w:t>
      </w:r>
    </w:p>
    <w:p>
      <w:r>
        <w:t>NIF B62366448.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L'objecte del contracte és l'execució de les obres de millora de la renaturalització i ombratge del pati infantil/primària de l'Escola Ronçana. · exp. 2025/1016</w:t>
            </w:r>
          </w:p>
        </w:tc>
        <w:tc>
          <w:tcPr>
            <w:tcW w:type="dxa" w:w="1440"/>
          </w:tcPr>
          <w:p>
            <w:r>
              <w:t>Ajuntament de Santa Eulàlia de Ronçana</w:t>
            </w:r>
          </w:p>
        </w:tc>
        <w:tc>
          <w:tcPr>
            <w:tcW w:type="dxa" w:w="1440"/>
          </w:tcPr>
          <w:p>
            <w:r>
              <w:t>24.350,00 €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30/10/2025 – 14/11/2025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24.350,00 €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Santa Eulàlia de Ronçana</w:t>
      </w:r>
    </w:p>
    <w:p>
      <w:r>
        <w:t xml:space="preserve">JARDIPI SL, con NIF B62366448, adjudicataria del contrato «L'objecte del contracte és l'execució de les obres de millora de la renaturalització i ombratge del pati infantil/primària de l'Escola Ronçana.», expediente 2025/1016, adjudicado el …… por 24.350,00 €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30/10/2025 a 14/11/2025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