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IGNIS H2O, S.L.</w:t>
      </w:r>
    </w:p>
    <w:p>
      <w:r>
        <w:t>NIF B97294524.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 la redacción del proyecto constructivo, tramitaciones administrativas de permisos, ejecución de las obras, operación y mantenimiento de la instalación solar fotovoltaica de 40 kwn acogida a la modalidad de autoconsumo con excedentes en Centro de Formación del Agua (CEFORA) Expte 032/ (lote 2) · exp. 032/26</w:t>
            </w:r>
          </w:p>
        </w:tc>
        <w:tc>
          <w:tcPr>
            <w:tcW w:type="dxa" w:w="1440"/>
          </w:tcPr>
          <w:p>
            <w:r>
              <w:t>Consejería Delegada de la Empresa Metropolitana de Abastecimiento y Saneamiento de Aguas de Sevilla S.A. (EMASESA) · NIF A41039496</w:t>
            </w:r>
          </w:p>
        </w:tc>
        <w:tc>
          <w:tcPr>
            <w:tcW w:type="dxa" w:w="1440"/>
          </w:tcPr>
          <w:p>
            <w:r>
              <w:t>73.590,66 €</w:t>
            </w:r>
          </w:p>
        </w:tc>
        <w:tc>
          <w:tcPr>
            <w:tcW w:type="dxa" w:w="1440"/>
          </w:tcPr>
          <w:p>
            <w:r>
              <w:t>13/09/2026</w:t>
            </w:r>
          </w:p>
        </w:tc>
        <w:tc>
          <w:tcPr>
            <w:tcW w:type="dxa" w:w="1440"/>
          </w:tcPr>
          <w:p>
            <w:r>
              <w:t>13/10/2026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73.590,66 €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Delegada de la Empresa Metropolitana de Abastecimiento y Saneamiento de Aguas de Sevilla S.A. (EMASESA) (NIF A41039496)</w:t>
      </w:r>
    </w:p>
    <w:p>
      <w:r>
        <w:t xml:space="preserve">IGNIS H2O, S.L., con NIF B97294524, adjudicataria del contrato «Contratación de la redacción del proyecto constructivo, tramitaciones administrativas de permisos, ejecución de las obras, operación y mantenimiento de la instalación solar fotovoltaica de 40 kwn acogida a la modalidad de autoconsumo con excedentes en Centro de Formación del Agua (CEFORA) Expte 032/», lote 2, expediente 032/26, adjudicado el 13/09/2026 por 73.590,66 €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13/10/2026 a 13/02/2030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