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EMICA BOMBAS, S.L.</w:t>
      </w:r>
    </w:p>
    <w:p>
      <w:r>
        <w:t>NIF B95893111.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puesta en marcha de bombas centrífugas horizontales con motor en disposición vertical y bombas centrífugas sumergibles, en el marco de los trabajos de mejora en las infraestructuras de riego con aguas regeneradas en menorca 2025 (nº de obra: 1615024) (lote 2) · exp. TSA0081245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88.184,00 €</w:t>
            </w:r>
          </w:p>
        </w:tc>
        <w:tc>
          <w:tcPr>
            <w:tcW w:type="dxa" w:w="1440"/>
          </w:tcPr>
          <w:p>
            <w:r>
              <w:t>18/09/2025</w:t>
            </w:r>
          </w:p>
        </w:tc>
        <w:tc>
          <w:tcPr>
            <w:tcW w:type="dxa" w:w="1440"/>
          </w:tcPr>
          <w:p>
            <w:r>
              <w:t>13/10/2025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88.184,00 €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EMICA BOMBAS, S.L., con NIF B95893111, adjudicataria del contrato «suministro y puesta en marcha de bombas centrífugas horizontales con motor en disposición vertical y bombas centrífugas sumergibles, en el marco de los trabajos de mejora en las infraestructuras de riego con aguas regeneradas en menorca 2025 (nº de obra: 1615024)», lote 2, expediente TSA0081245, adjudicado el 18/09/2025 por 88.184,00 €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13/10/2025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