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Carnicas Alro SL</w:t>
      </w:r>
    </w:p>
    <w:p>
      <w:r>
        <w:t>NIF B05180385.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carne fresca de ternera I.G.P. Carne de Ávila, con destino a varios establecimientos de Paradores de Turismo de España, S.M.E., S.A. · exp. 2023-0309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117.470,00 €</w:t>
            </w:r>
          </w:p>
        </w:tc>
        <w:tc>
          <w:tcPr>
            <w:tcW w:type="dxa" w:w="1440"/>
          </w:tcPr>
          <w:p>
            <w:r>
              <w:t>27/11/2023</w:t>
            </w:r>
          </w:p>
        </w:tc>
        <w:tc>
          <w:tcPr>
            <w:tcW w:type="dxa" w:w="1440"/>
          </w:tcPr>
          <w:p>
            <w:r>
              <w:t>27/12/2023 – 27/12/2024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117.470,00 €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Carnicas Alro SL, con NIF B05180385, adjudicataria del contrato «Contratación del suministro de carne fresca de ternera I.G.P. Carne de Ávila, con destino a varios establecimientos de Paradores de Turismo de España, S.M.E., S.A.», expediente 2023-0309, adjudicado el 27/11/2023 por 117.470,00 €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27/12/2023 a 27/12/2024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