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CARMA INGENIERIA ACÚSTICA S.L.</w:t>
      </w:r>
    </w:p>
    <w:p>
      <w:r>
        <w:t>NIF B27875293.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Acondicionamiento acústico Pabellón Deportivo de Xil (lote 0) · exp. PcPG/2026/829045</w:t>
            </w:r>
          </w:p>
        </w:tc>
        <w:tc>
          <w:tcPr>
            <w:tcW w:type="dxa" w:w="1440"/>
          </w:tcPr>
          <w:p>
            <w:r>
              <w:t>Concello de Meaño · NIF P3602700A</w:t>
            </w:r>
          </w:p>
        </w:tc>
        <w:tc>
          <w:tcPr>
            <w:tcW w:type="dxa" w:w="1440"/>
          </w:tcPr>
          <w:p>
            <w:r>
              <w:t>106.213,80 €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01/10/2026 – 29/10/2026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106.213,80 €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Concello de Meaño (NIF P3602700A)</w:t>
      </w:r>
    </w:p>
    <w:p>
      <w:r>
        <w:t xml:space="preserve">CARMA INGENIERIA ACÚSTICA S.L., con NIF B27875293, adjudicataria del contrato «Acondicionamiento acústico Pabellón Deportivo de Xil», lote 0, expediente PcPG/2026/829045, adjudicado el …… por 106.213,80 €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01/10/2026 a 29/10/2026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