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ATECHBCN SL</w:t>
      </w:r>
    </w:p>
    <w:p>
      <w:r>
        <w:t>NIF B65699928.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la ejecución de las obras para el refuerzo del carril de la góndola para mejorar su resistencia reforzando con vigas, e incluyendo la reposición de las ruedas de la góndola y del Barcelona Supercomputing Center – Centro Nacional de Supercomputación (BSC-CNS) · exp. CONOBR02024022OP</w:t>
            </w:r>
          </w:p>
        </w:tc>
        <w:tc>
          <w:tcPr>
            <w:tcW w:type="dxa" w:w="1440"/>
          </w:tcPr>
          <w:p>
            <w:r>
              <w:t>Dirección de Barcelona Supercomputing Center - Centro Nacional de Supercomputación (BSC-CNS) · NIF S0800099D</w:t>
            </w:r>
          </w:p>
        </w:tc>
        <w:tc>
          <w:tcPr>
            <w:tcW w:type="dxa" w:w="1440"/>
          </w:tcPr>
          <w:p>
            <w:r>
              <w:t>68.834,00 €</w:t>
            </w:r>
          </w:p>
        </w:tc>
        <w:tc>
          <w:tcPr>
            <w:tcW w:type="dxa" w:w="1440"/>
          </w:tcPr>
          <w:p>
            <w:r>
              <w:t>18/07/2024</w:t>
            </w:r>
          </w:p>
        </w:tc>
        <w:tc>
          <w:tcPr>
            <w:tcW w:type="dxa" w:w="1440"/>
          </w:tcPr>
          <w:p>
            <w:r>
              <w:t>18/08/2024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68.834,00 €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Barcelona Supercomputing Center - Centro Nacional de Supercomputación (BSC-CNS) (NIF S0800099D)</w:t>
      </w:r>
    </w:p>
    <w:p>
      <w:r>
        <w:t xml:space="preserve">ATECHBCN SL, con NIF B65699928, adjudicataria del contrato «Contratación de la ejecución de las obras para el refuerzo del carril de la góndola para mejorar su resistencia reforzando con vigas, e incluyendo la reposición de las ruedas de la góndola y del Barcelona Supercomputing Center – Centro Nacional de Supercomputación (BSC-CNS)», expediente CONOBR02024022OP, adjudicado el 18/07/2024 por 68.834,00 €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