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ASTILLEROS Y VARADEROS DE GARRUCHA SL</w:t>
      </w:r>
    </w:p>
    <w:p>
      <w:r>
        <w:t>NIF B04346706.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tres buques gemelos tipo catamarán para el CMTBC · exp. CONTR 2024 0000308150</w:t>
            </w:r>
          </w:p>
        </w:tc>
        <w:tc>
          <w:tcPr>
            <w:tcW w:type="dxa" w:w="1440"/>
          </w:tcPr>
          <w:p>
            <w:r>
              <w:t>Consorcio de Transportes de la Bahía de Cádiz · NIF V11579893</w:t>
            </w:r>
          </w:p>
        </w:tc>
        <w:tc>
          <w:tcPr>
            <w:tcW w:type="dxa" w:w="1440"/>
          </w:tcPr>
          <w:p>
            <w:r>
              <w:t>7.349.736,00 €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28/11/2024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7.349.736,00 €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Consorcio de Transportes de la Bahía de Cádiz (NIF V11579893)</w:t>
      </w:r>
    </w:p>
    <w:p>
      <w:r>
        <w:t xml:space="preserve">ASTILLEROS Y VARADEROS DE GARRUCHA SL, con NIF B04346706, adjudicataria del contrato «Suministro de tres buques gemelos tipo catamarán para el CMTBC», expediente CONTR 2024 0000308150, adjudicado el …… por 7.349.736,00 €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28/11/2024 a 28/05/2027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