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ANTI ENTERTAINMENT SL</w:t>
      </w:r>
    </w:p>
    <w:p>
      <w:r>
        <w:t>NIF B87870721.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Diseño, construcción, transporte, montaje y desmontaje del stand de la feria  Transport and Logistics Innovation Week (sitl) 2024, que se celebrará en París del 19 al 21 de marzo del 2024. Clave de expediente: 2024C290006. · exp. 2023-00408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40.999,74 €</w:t>
            </w:r>
          </w:p>
        </w:tc>
        <w:tc>
          <w:tcPr>
            <w:tcW w:type="dxa" w:w="1440"/>
          </w:tcPr>
          <w:p>
            <w:r>
              <w:t>03/03/2024</w:t>
            </w:r>
          </w:p>
        </w:tc>
        <w:tc>
          <w:tcPr>
            <w:tcW w:type="dxa" w:w="1440"/>
          </w:tcPr>
          <w:p>
            <w:r>
              <w:t>03/04/2024 – 08/04/2024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40.999,74 €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ANTI ENTERTAINMENT SL, con NIF B87870721, adjudicataria del contrato «Diseño, construcción, transporte, montaje y desmontaje del stand de la feria  Transport and Logistics Innovation Week (sitl) 2024, que se celebrará en París del 19 al 21 de marzo del 2024. Clave de expediente: 2024C290006.», expediente 2023-00408, adjudicado el 03/03/2024 por 40.999,74 €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03/04/2024 a 08/04/2024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