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AISIA EVENTS, S.L.</w:t>
      </w:r>
    </w:p>
    <w:p>
      <w:r>
        <w:t>NIF B01459833.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 los servicios de consultoría y gestión que se encarguen del asesoramiento técnico y comunicación en el ámbito de los productos turísticos. (lote 476354) · exp. B2024006</w:t>
            </w:r>
          </w:p>
        </w:tc>
        <w:tc>
          <w:tcPr>
            <w:tcW w:type="dxa" w:w="1440"/>
          </w:tcPr>
          <w:p>
            <w:r>
              <w:t>Dirección general de BASQUETOUR · NIF A95444501</w:t>
            </w:r>
          </w:p>
        </w:tc>
        <w:tc>
          <w:tcPr>
            <w:tcW w:type="dxa" w:w="1440"/>
          </w:tcPr>
          <w:p>
            <w:r>
              <w:t>125.999,00 €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03/09/2024 – 03/09/2026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125.999,00 €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BASQUETOUR (NIF A95444501)</w:t>
      </w:r>
    </w:p>
    <w:p>
      <w:r>
        <w:t xml:space="preserve">AISIA EVENTS, S.L., con NIF B01459833, adjudicataria del contrato «Contratación de los servicios de consultoría y gestión que se encarguen del asesoramiento técnico y comunicación en el ámbito de los productos turísticos.», lote 476354, expediente B2024006, adjudicado el …… por 125.999,00 €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03/09/2024 a 03/09/2026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